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2B" w:rsidRDefault="000D612B" w:rsidP="000D612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D612B" w:rsidRPr="00B971B6" w:rsidRDefault="000D612B" w:rsidP="000D612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612B" w:rsidTr="004A2A79">
        <w:trPr>
          <w:trHeight w:val="567"/>
        </w:trPr>
        <w:tc>
          <w:tcPr>
            <w:tcW w:w="9062" w:type="dxa"/>
          </w:tcPr>
          <w:p w:rsidR="000D612B" w:rsidRDefault="000D612B" w:rsidP="004A2A79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D612B" w:rsidRPr="000D612B" w:rsidRDefault="000D612B" w:rsidP="000D612B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0D612B">
              <w:rPr>
                <w:b/>
              </w:rPr>
              <w:t>L</w:t>
            </w:r>
            <w:r>
              <w:rPr>
                <w:b/>
              </w:rPr>
              <w:t>e</w:t>
            </w:r>
            <w:r w:rsidRPr="000D612B">
              <w:rPr>
                <w:b/>
              </w:rPr>
              <w:t xml:space="preserve"> </w:t>
            </w:r>
            <w:proofErr w:type="spellStart"/>
            <w:r w:rsidRPr="000D612B">
              <w:rPr>
                <w:b/>
              </w:rPr>
              <w:t>Carlaret</w:t>
            </w:r>
            <w:proofErr w:type="spellEnd"/>
            <w:r w:rsidRPr="000D612B">
              <w:t xml:space="preserve"> – La </w:t>
            </w:r>
            <w:proofErr w:type="spellStart"/>
            <w:r w:rsidRPr="000D612B">
              <w:t>Bardaille</w:t>
            </w:r>
            <w:proofErr w:type="spellEnd"/>
            <w:r w:rsidRPr="000D612B">
              <w:t xml:space="preserve"> – Parking près de la station d’épuration – </w:t>
            </w:r>
            <w:r w:rsidRPr="000D612B">
              <w:rPr>
                <w:b/>
              </w:rPr>
              <w:t xml:space="preserve">De Le </w:t>
            </w:r>
            <w:proofErr w:type="spellStart"/>
            <w:r w:rsidRPr="000D612B">
              <w:rPr>
                <w:b/>
              </w:rPr>
              <w:t>Carlaret</w:t>
            </w:r>
            <w:proofErr w:type="spellEnd"/>
            <w:r w:rsidRPr="000D612B">
              <w:rPr>
                <w:b/>
              </w:rPr>
              <w:t xml:space="preserve">/La </w:t>
            </w:r>
            <w:proofErr w:type="spellStart"/>
            <w:r w:rsidRPr="000D612B">
              <w:rPr>
                <w:b/>
              </w:rPr>
              <w:t>Bardaille</w:t>
            </w:r>
            <w:proofErr w:type="spellEnd"/>
            <w:r w:rsidRPr="000D612B">
              <w:rPr>
                <w:b/>
              </w:rPr>
              <w:t xml:space="preserve"> à </w:t>
            </w:r>
            <w:proofErr w:type="spellStart"/>
            <w:r w:rsidRPr="000D612B">
              <w:rPr>
                <w:b/>
              </w:rPr>
              <w:t>Ludiès</w:t>
            </w:r>
            <w:proofErr w:type="spellEnd"/>
            <w:r w:rsidRPr="000D612B">
              <w:rPr>
                <w:b/>
              </w:rPr>
              <w:t xml:space="preserve"> en boucle</w:t>
            </w:r>
          </w:p>
          <w:p w:rsidR="000D612B" w:rsidRPr="009E0498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Default="000D612B" w:rsidP="004A2A79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0D612B" w:rsidRPr="00057710" w:rsidRDefault="00057710" w:rsidP="00057710">
            <w:pPr>
              <w:pStyle w:val="Paragraphedeliste"/>
              <w:numPr>
                <w:ilvl w:val="0"/>
                <w:numId w:val="1"/>
              </w:numPr>
            </w:pPr>
            <w:r w:rsidRPr="00057710">
              <w:t>22.10.2022 – B. Leconte – 22 participants</w:t>
            </w:r>
          </w:p>
          <w:p w:rsidR="000D612B" w:rsidRPr="00E10100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Default="000D612B" w:rsidP="004A2A79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612B" w:rsidRPr="002F482D" w:rsidRDefault="002F482D" w:rsidP="002F482D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2F482D">
              <w:t xml:space="preserve">Parcours </w:t>
            </w:r>
            <w:r w:rsidRPr="002F482D">
              <w:rPr>
                <w:rFonts w:cstheme="minorHAnsi"/>
              </w:rPr>
              <w:t>"</w:t>
            </w:r>
            <w:r w:rsidRPr="002F482D">
              <w:t>inventé</w:t>
            </w:r>
            <w:r w:rsidRPr="002F482D">
              <w:rPr>
                <w:rFonts w:ascii="Calibri" w:hAnsi="Calibri" w:cs="Calibri"/>
              </w:rPr>
              <w:t>"</w:t>
            </w:r>
            <w:r w:rsidRPr="002F482D">
              <w:t xml:space="preserve"> par Bernard Leconte</w:t>
            </w:r>
          </w:p>
          <w:p w:rsidR="000D612B" w:rsidRPr="009E0498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Default="000D612B" w:rsidP="004A2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D612B" w:rsidRPr="00057710" w:rsidRDefault="00057710" w:rsidP="00057710">
            <w:pPr>
              <w:pStyle w:val="Paragraphedeliste"/>
              <w:numPr>
                <w:ilvl w:val="0"/>
                <w:numId w:val="1"/>
              </w:numPr>
            </w:pPr>
            <w:r w:rsidRPr="00057710">
              <w:t>Promeneur – 2h20 – 60 m – 8,5 km – ½ journée</w:t>
            </w:r>
            <w:r w:rsidR="00FB0746">
              <w:t xml:space="preserve">                    </w:t>
            </w:r>
            <w:r w:rsidR="00FB0746">
              <w:t xml:space="preserve">Indice d’effort : 24  </w:t>
            </w:r>
            <w:r w:rsidR="00FB0746">
              <w:rPr>
                <w:noProof/>
                <w:lang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12B" w:rsidRPr="00E10100" w:rsidRDefault="000D612B" w:rsidP="004A2A79">
            <w:pPr>
              <w:rPr>
                <w:b/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Pr="002F482D" w:rsidRDefault="000D612B" w:rsidP="002F482D">
            <w:pPr>
              <w:jc w:val="both"/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2F482D" w:rsidRPr="002F482D">
              <w:t xml:space="preserve">Absence de balisage jusqu’aux abords de </w:t>
            </w:r>
            <w:proofErr w:type="spellStart"/>
            <w:r w:rsidR="002F482D" w:rsidRPr="002F482D">
              <w:t>Ludiès</w:t>
            </w:r>
            <w:proofErr w:type="spellEnd"/>
            <w:r w:rsidR="002F482D" w:rsidRPr="002F482D">
              <w:t xml:space="preserve"> et la rencontre avec le GR 78. Balisage blanc et rouge du Gr ensuite jusqu’au moment où on le quitte après l’ancienne gare de La </w:t>
            </w:r>
            <w:proofErr w:type="spellStart"/>
            <w:r w:rsidR="002F482D" w:rsidRPr="002F482D">
              <w:t>Carlaret</w:t>
            </w:r>
            <w:proofErr w:type="spellEnd"/>
            <w:r w:rsidR="002F482D" w:rsidRPr="002F482D">
              <w:t>.</w:t>
            </w:r>
          </w:p>
          <w:p w:rsidR="002F482D" w:rsidRDefault="002F482D" w:rsidP="002F482D">
            <w:pPr>
              <w:rPr>
                <w:b/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Pr="002F482D" w:rsidRDefault="000D612B" w:rsidP="004A2A79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F482D" w:rsidRPr="002F482D">
              <w:t>Ce parcours emprunte une partie de l’ancienne voie ferrée de Pamiers à Mirepoix et une partie du GR 78.</w:t>
            </w:r>
          </w:p>
          <w:p w:rsidR="000D612B" w:rsidRPr="009E0498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Pr="00233651" w:rsidRDefault="000D612B" w:rsidP="004A2A79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D612B" w:rsidRPr="00322136" w:rsidRDefault="00322136" w:rsidP="00322136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 xml:space="preserve">la belle fontaine de </w:t>
            </w:r>
            <w:proofErr w:type="spellStart"/>
            <w:r>
              <w:t>Ludiés</w:t>
            </w:r>
            <w:proofErr w:type="spellEnd"/>
            <w:r>
              <w:t xml:space="preserve"> (Dans la montée depuis l’ancienne voie ferrée vers </w:t>
            </w:r>
            <w:proofErr w:type="spellStart"/>
            <w:r>
              <w:t>Ludiès</w:t>
            </w:r>
            <w:proofErr w:type="spellEnd"/>
            <w:r>
              <w:t>).</w:t>
            </w:r>
          </w:p>
          <w:p w:rsidR="00322136" w:rsidRDefault="00322136" w:rsidP="00322136">
            <w:pPr>
              <w:pStyle w:val="Paragraphedeliste"/>
              <w:numPr>
                <w:ilvl w:val="0"/>
                <w:numId w:val="1"/>
              </w:numPr>
            </w:pPr>
            <w:r>
              <w:t xml:space="preserve">Le très beau chemin entre </w:t>
            </w:r>
            <w:proofErr w:type="spellStart"/>
            <w:r>
              <w:t>Ludiés</w:t>
            </w:r>
            <w:proofErr w:type="spellEnd"/>
            <w:r>
              <w:t xml:space="preserve"> et Le </w:t>
            </w:r>
            <w:proofErr w:type="spellStart"/>
            <w:r>
              <w:t>Carlaret</w:t>
            </w:r>
            <w:proofErr w:type="spellEnd"/>
          </w:p>
          <w:p w:rsidR="00322136" w:rsidRPr="00322136" w:rsidRDefault="00C967AE" w:rsidP="00322136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L’église et le cimetière du </w:t>
            </w:r>
            <w:proofErr w:type="spellStart"/>
            <w:r>
              <w:rPr>
                <w:sz w:val="24"/>
                <w:szCs w:val="24"/>
              </w:rPr>
              <w:t>Carlaret</w:t>
            </w:r>
            <w:proofErr w:type="spellEnd"/>
          </w:p>
          <w:p w:rsidR="000D612B" w:rsidRPr="009E0498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Pr="00233651" w:rsidRDefault="000D612B" w:rsidP="004A2A79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0D612B" w:rsidRPr="00893879" w:rsidRDefault="000D612B" w:rsidP="004A2A79">
            <w:pPr>
              <w:ind w:left="360"/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Pr="009E0498" w:rsidRDefault="000D612B" w:rsidP="004A2A79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22136" w:rsidRPr="00322136">
              <w:t>15 km – Covoiturage = 2 €.</w:t>
            </w:r>
          </w:p>
          <w:p w:rsidR="000D612B" w:rsidRDefault="000D612B" w:rsidP="004A2A79">
            <w:pPr>
              <w:rPr>
                <w:sz w:val="24"/>
                <w:szCs w:val="24"/>
              </w:rPr>
            </w:pPr>
          </w:p>
          <w:p w:rsidR="000D612B" w:rsidRPr="009E0498" w:rsidRDefault="000D612B" w:rsidP="004A2A79">
            <w:pPr>
              <w:rPr>
                <w:sz w:val="24"/>
                <w:szCs w:val="24"/>
              </w:rPr>
            </w:pPr>
          </w:p>
        </w:tc>
      </w:tr>
      <w:tr w:rsidR="000D612B" w:rsidTr="004A2A79">
        <w:trPr>
          <w:trHeight w:val="567"/>
        </w:trPr>
        <w:tc>
          <w:tcPr>
            <w:tcW w:w="9062" w:type="dxa"/>
          </w:tcPr>
          <w:p w:rsidR="000D612B" w:rsidRDefault="000D612B" w:rsidP="004A2A79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612B" w:rsidRPr="009A1419" w:rsidRDefault="000D612B" w:rsidP="004A2A79">
            <w:pPr>
              <w:rPr>
                <w:b/>
                <w:sz w:val="24"/>
                <w:szCs w:val="24"/>
              </w:rPr>
            </w:pPr>
          </w:p>
          <w:p w:rsidR="000D612B" w:rsidRDefault="000D612B" w:rsidP="004A2A79">
            <w:pPr>
              <w:rPr>
                <w:sz w:val="24"/>
                <w:szCs w:val="24"/>
              </w:rPr>
            </w:pPr>
          </w:p>
          <w:p w:rsidR="000D612B" w:rsidRPr="00836791" w:rsidRDefault="000D612B" w:rsidP="004A2A79">
            <w:pPr>
              <w:rPr>
                <w:sz w:val="24"/>
                <w:szCs w:val="24"/>
              </w:rPr>
            </w:pPr>
          </w:p>
        </w:tc>
      </w:tr>
    </w:tbl>
    <w:p w:rsidR="000D612B" w:rsidRPr="00893879" w:rsidRDefault="000D612B" w:rsidP="000D612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D612B" w:rsidRPr="00C967AE" w:rsidRDefault="000D612B" w:rsidP="000D612B">
      <w:pPr>
        <w:rPr>
          <w:b/>
        </w:rPr>
      </w:pPr>
      <w:r>
        <w:t xml:space="preserve">Date de la dernière mise à jour : </w:t>
      </w:r>
      <w:r w:rsidR="00FB0746">
        <w:rPr>
          <w:b/>
        </w:rPr>
        <w:t>31</w:t>
      </w:r>
      <w:bookmarkStart w:id="0" w:name="_GoBack"/>
      <w:bookmarkEnd w:id="0"/>
      <w:r w:rsidR="00C967AE" w:rsidRPr="00C967AE">
        <w:rPr>
          <w:b/>
        </w:rPr>
        <w:t xml:space="preserve"> octobre 2022</w:t>
      </w:r>
    </w:p>
    <w:p w:rsidR="000D612B" w:rsidRDefault="000D612B" w:rsidP="000D61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D612B" w:rsidRPr="00FF2AF5" w:rsidRDefault="000D612B" w:rsidP="000D612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E43BB3" w:rsidRDefault="00FB0746" w:rsidP="00FB0746">
      <w:r>
        <w:rPr>
          <w:noProof/>
          <w:lang w:eastAsia="fr-FR"/>
        </w:rPr>
        <w:drawing>
          <wp:inline distT="0" distB="0" distL="0" distR="0">
            <wp:extent cx="5715000" cy="62579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46" w:rsidRDefault="00FB0746" w:rsidP="00FB0746">
      <w:r>
        <w:rPr>
          <w:noProof/>
          <w:lang w:eastAsia="fr-FR"/>
        </w:rPr>
        <w:drawing>
          <wp:inline distT="0" distB="0" distL="0" distR="0">
            <wp:extent cx="5715000" cy="2114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E29CF"/>
    <w:multiLevelType w:val="hybridMultilevel"/>
    <w:tmpl w:val="ADB47006"/>
    <w:lvl w:ilvl="0" w:tplc="9CFE5BC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A5A06"/>
    <w:multiLevelType w:val="hybridMultilevel"/>
    <w:tmpl w:val="2848B1D0"/>
    <w:lvl w:ilvl="0" w:tplc="4B6E1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B"/>
    <w:rsid w:val="00057710"/>
    <w:rsid w:val="000D612B"/>
    <w:rsid w:val="002F482D"/>
    <w:rsid w:val="00322136"/>
    <w:rsid w:val="00C967AE"/>
    <w:rsid w:val="00E43BB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FC73-4B9C-44F8-98FB-178F88EF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0D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2022-10-23T06:22:00Z</dcterms:created>
  <dcterms:modified xsi:type="dcterms:W3CDTF">2022-10-31T20:38:00Z</dcterms:modified>
</cp:coreProperties>
</file>