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72" w:rsidRDefault="000B2B72" w:rsidP="000B2B72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FICHE </w:t>
      </w:r>
      <w:r w:rsidRPr="00966BCE">
        <w:rPr>
          <w:b/>
          <w:sz w:val="24"/>
          <w:szCs w:val="24"/>
        </w:rPr>
        <w:t>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0B2B72" w:rsidRPr="00B971B6" w:rsidRDefault="000B2B72" w:rsidP="000B2B7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VICDESSOS n°112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0B2B72" w:rsidRPr="000B2B72" w:rsidRDefault="000B2B72" w:rsidP="000B2B72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A6A06">
              <w:rPr>
                <w:b/>
                <w:sz w:val="24"/>
                <w:szCs w:val="24"/>
              </w:rPr>
              <w:t>Siguer</w:t>
            </w:r>
            <w:r>
              <w:rPr>
                <w:sz w:val="24"/>
                <w:szCs w:val="24"/>
              </w:rPr>
              <w:t xml:space="preserve"> – Parking du </w:t>
            </w:r>
            <w:proofErr w:type="spellStart"/>
            <w:r>
              <w:rPr>
                <w:sz w:val="24"/>
                <w:szCs w:val="24"/>
              </w:rPr>
              <w:t>Bouychet</w:t>
            </w:r>
            <w:proofErr w:type="spellEnd"/>
            <w:r>
              <w:rPr>
                <w:sz w:val="24"/>
                <w:szCs w:val="24"/>
              </w:rPr>
              <w:t xml:space="preserve"> au bout de la D224 – </w:t>
            </w:r>
            <w:r w:rsidRPr="006A6A06">
              <w:rPr>
                <w:b/>
                <w:sz w:val="24"/>
                <w:szCs w:val="24"/>
              </w:rPr>
              <w:t xml:space="preserve">L’étang de </w:t>
            </w:r>
            <w:proofErr w:type="spellStart"/>
            <w:r w:rsidRPr="006A6A06">
              <w:rPr>
                <w:b/>
                <w:sz w:val="24"/>
                <w:szCs w:val="24"/>
              </w:rPr>
              <w:t>Gnioure</w:t>
            </w:r>
            <w:proofErr w:type="spellEnd"/>
            <w:r w:rsidRPr="006A6A06">
              <w:rPr>
                <w:b/>
                <w:sz w:val="24"/>
                <w:szCs w:val="24"/>
              </w:rPr>
              <w:t xml:space="preserve"> A/R</w:t>
            </w:r>
          </w:p>
          <w:p w:rsidR="000B2B72" w:rsidRPr="009E0498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0B2B72" w:rsidRPr="006E7964" w:rsidRDefault="006E7964" w:rsidP="00176B8C">
            <w:pPr>
              <w:pStyle w:val="Paragraphedeliste"/>
              <w:numPr>
                <w:ilvl w:val="0"/>
                <w:numId w:val="1"/>
              </w:numPr>
            </w:pPr>
            <w:r w:rsidRPr="006E7964">
              <w:t>13.09.2017 – G. Duval – 7 participants</w:t>
            </w:r>
          </w:p>
          <w:p w:rsidR="000B2B72" w:rsidRPr="00E10100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B2B72" w:rsidRPr="006E7964" w:rsidRDefault="006E7964" w:rsidP="006E7964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E7964">
              <w:t xml:space="preserve">Topo-guide des Montagnes de Tarascon et du Vicdessos n° 3 – Balade n° 7 </w:t>
            </w:r>
            <w:r w:rsidRPr="006E7964">
              <w:rPr>
                <w:rFonts w:cstheme="minorHAnsi"/>
              </w:rPr>
              <w:t xml:space="preserve">"L’étang de </w:t>
            </w:r>
            <w:proofErr w:type="spellStart"/>
            <w:r w:rsidRPr="006E7964">
              <w:rPr>
                <w:rFonts w:cstheme="minorHAnsi"/>
              </w:rPr>
              <w:t>Gnioure</w:t>
            </w:r>
            <w:proofErr w:type="spellEnd"/>
            <w:r w:rsidRPr="006E7964">
              <w:rPr>
                <w:rFonts w:cstheme="minorHAnsi"/>
              </w:rPr>
              <w:t>" – Pages 24 et 25</w:t>
            </w:r>
          </w:p>
          <w:p w:rsidR="006E7964" w:rsidRPr="006E7964" w:rsidRDefault="006E7964" w:rsidP="006E7964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E7964">
              <w:t xml:space="preserve">Randonnées dans les Pyrénées Ariégeoises – M. Sébastien – L’étang de </w:t>
            </w:r>
            <w:proofErr w:type="spellStart"/>
            <w:r w:rsidRPr="006E7964">
              <w:t>Gnioure</w:t>
            </w:r>
            <w:proofErr w:type="spellEnd"/>
            <w:r w:rsidRPr="006E7964">
              <w:t xml:space="preserve"> par Le </w:t>
            </w:r>
            <w:proofErr w:type="spellStart"/>
            <w:r w:rsidRPr="006E7964">
              <w:t>Bouychet</w:t>
            </w:r>
            <w:proofErr w:type="spellEnd"/>
            <w:r w:rsidRPr="006E7964">
              <w:t xml:space="preserve"> – Pages 186 et 187</w:t>
            </w:r>
          </w:p>
          <w:p w:rsidR="000B2B72" w:rsidRPr="009E0498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0B2B72" w:rsidRPr="006E7964" w:rsidRDefault="006E7964" w:rsidP="00176B8C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 w:rsidRPr="006E7964">
              <w:t>Montagnol</w:t>
            </w:r>
            <w:proofErr w:type="spellEnd"/>
            <w:r w:rsidRPr="006E7964">
              <w:t xml:space="preserve"> – 6h45 – 1250 m – 14 km </w:t>
            </w:r>
            <w:r w:rsidR="006A6A06">
              <w:t>–</w:t>
            </w:r>
            <w:r w:rsidRPr="006E7964">
              <w:t xml:space="preserve"> Journée</w:t>
            </w:r>
            <w:r w:rsidR="006A6A06">
              <w:t xml:space="preserve">            </w:t>
            </w:r>
            <w:r w:rsidR="006A6A06">
              <w:t xml:space="preserve">Indice d’effort : 118  </w:t>
            </w:r>
            <w:r w:rsidR="006A6A06">
              <w:rPr>
                <w:noProof/>
                <w:lang w:eastAsia="fr-FR"/>
              </w:rPr>
              <w:drawing>
                <wp:inline distT="0" distB="0" distL="0" distR="0">
                  <wp:extent cx="285750" cy="3048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B72" w:rsidRPr="00E10100" w:rsidRDefault="000B2B72" w:rsidP="00176B8C">
            <w:pPr>
              <w:rPr>
                <w:b/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="006E7964" w:rsidRPr="006E7964">
              <w:rPr>
                <w:sz w:val="24"/>
                <w:szCs w:val="24"/>
              </w:rPr>
              <w:t>Jaune</w:t>
            </w: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jc w:val="both"/>
              <w:rPr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B2B72" w:rsidRPr="009E0498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Pr="00233651" w:rsidRDefault="000B2B72" w:rsidP="00176B8C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6E7964" w:rsidRDefault="006E7964" w:rsidP="006A6A0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beau sentier muletier empierré remontant les gorges du ruisseau d’Escales</w:t>
            </w:r>
          </w:p>
          <w:p w:rsidR="000B2B72" w:rsidRDefault="006E7964" w:rsidP="006A6A0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E7964">
              <w:rPr>
                <w:sz w:val="24"/>
                <w:szCs w:val="24"/>
              </w:rPr>
              <w:t xml:space="preserve">Le </w:t>
            </w:r>
            <w:r>
              <w:rPr>
                <w:sz w:val="24"/>
                <w:szCs w:val="24"/>
              </w:rPr>
              <w:t>p</w:t>
            </w:r>
            <w:r w:rsidRPr="006E7964">
              <w:rPr>
                <w:sz w:val="24"/>
                <w:szCs w:val="24"/>
              </w:rPr>
              <w:t xml:space="preserve">ont de la </w:t>
            </w:r>
            <w:proofErr w:type="spellStart"/>
            <w:r w:rsidRPr="006E7964">
              <w:rPr>
                <w:sz w:val="24"/>
                <w:szCs w:val="24"/>
              </w:rPr>
              <w:t>Peyre</w:t>
            </w:r>
            <w:proofErr w:type="spellEnd"/>
            <w:r w:rsidRPr="006E7964">
              <w:rPr>
                <w:sz w:val="24"/>
                <w:szCs w:val="24"/>
              </w:rPr>
              <w:t xml:space="preserve"> (1498 m)</w:t>
            </w:r>
          </w:p>
          <w:p w:rsidR="00642250" w:rsidRPr="006E7964" w:rsidRDefault="00642250" w:rsidP="006A6A06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L’immense étang de </w:t>
            </w:r>
            <w:proofErr w:type="spellStart"/>
            <w:r>
              <w:rPr>
                <w:sz w:val="24"/>
                <w:szCs w:val="24"/>
              </w:rPr>
              <w:t>Gnioure</w:t>
            </w:r>
            <w:proofErr w:type="spellEnd"/>
            <w:r>
              <w:rPr>
                <w:sz w:val="24"/>
                <w:szCs w:val="24"/>
              </w:rPr>
              <w:t xml:space="preserve"> et son cadre de hautes montagnes (Panneaux d’information et table d’orientation)</w:t>
            </w:r>
          </w:p>
          <w:p w:rsidR="000B2B72" w:rsidRPr="009E0498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Pr="00233651" w:rsidRDefault="000B2B72" w:rsidP="00176B8C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3879">
              <w:t xml:space="preserve">Oui </w:t>
            </w:r>
          </w:p>
          <w:p w:rsidR="000B2B72" w:rsidRPr="00893879" w:rsidRDefault="000B2B72" w:rsidP="00176B8C">
            <w:pPr>
              <w:ind w:left="360"/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7502">
              <w:t>4</w:t>
            </w:r>
            <w:r>
              <w:t>2</w:t>
            </w:r>
            <w:r w:rsidRPr="00597502">
              <w:t xml:space="preserve"> km</w:t>
            </w:r>
          </w:p>
          <w:p w:rsidR="000B2B72" w:rsidRPr="009E0498" w:rsidRDefault="000B2B72" w:rsidP="00176B8C">
            <w:pPr>
              <w:rPr>
                <w:sz w:val="24"/>
                <w:szCs w:val="24"/>
              </w:rPr>
            </w:pPr>
          </w:p>
        </w:tc>
      </w:tr>
      <w:tr w:rsidR="000B2B72" w:rsidTr="00176B8C">
        <w:trPr>
          <w:trHeight w:val="567"/>
        </w:trPr>
        <w:tc>
          <w:tcPr>
            <w:tcW w:w="9062" w:type="dxa"/>
          </w:tcPr>
          <w:p w:rsidR="000B2B72" w:rsidRDefault="000B2B72" w:rsidP="00176B8C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B2B72" w:rsidRDefault="00642250" w:rsidP="00642250">
            <w:pPr>
              <w:pStyle w:val="Paragraphedeliste"/>
              <w:numPr>
                <w:ilvl w:val="0"/>
                <w:numId w:val="2"/>
              </w:numPr>
              <w:jc w:val="both"/>
            </w:pPr>
            <w:r w:rsidRPr="00642250">
              <w:t xml:space="preserve">Le passage après la crête du </w:t>
            </w:r>
            <w:proofErr w:type="spellStart"/>
            <w:r w:rsidRPr="00642250">
              <w:t>Taychou</w:t>
            </w:r>
            <w:proofErr w:type="spellEnd"/>
            <w:r w:rsidRPr="00642250">
              <w:t xml:space="preserve"> offre un à-pic impressionnant sur le vallon de </w:t>
            </w:r>
            <w:proofErr w:type="spellStart"/>
            <w:r w:rsidRPr="00642250">
              <w:t>Gnioure</w:t>
            </w:r>
            <w:proofErr w:type="spellEnd"/>
            <w:r w:rsidRPr="00642250">
              <w:t>.  Il demande un peu de prudence mais n’est dangereux que lorsque subsiste encore de la neige</w:t>
            </w:r>
            <w:r w:rsidR="00D408EA">
              <w:t xml:space="preserve"> (câble de sécurité fixé le long de la paroi)</w:t>
            </w:r>
            <w:r w:rsidRPr="00642250">
              <w:t>.</w:t>
            </w:r>
          </w:p>
          <w:p w:rsidR="00A92F03" w:rsidRDefault="00A92F03" w:rsidP="0064225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 midi, on peut s’arrêter à hauteur des bâtiments du chantier de construction du barrage, restaurés en 2020 (Cabane et abri aménagés)</w:t>
            </w:r>
          </w:p>
          <w:p w:rsidR="00A92F03" w:rsidRDefault="00A92F03" w:rsidP="0064225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</w:t>
            </w:r>
            <w:r w:rsidR="00E82D8D">
              <w:t>a</w:t>
            </w:r>
            <w:r>
              <w:t xml:space="preserve"> descente jusqu’à l’ouvrage d’art représente </w:t>
            </w:r>
            <w:r w:rsidR="00E82D8D">
              <w:t>un</w:t>
            </w:r>
            <w:r>
              <w:t xml:space="preserve"> A/R supplémentaire de 0,8 km.</w:t>
            </w:r>
          </w:p>
          <w:p w:rsidR="000B2B72" w:rsidRPr="00A92F03" w:rsidRDefault="00642250" w:rsidP="00176B8C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t xml:space="preserve">Le tour du lac est sans intérêt, mais si on en a le temps, on ira faire la pause de midi à l’extrémité amont du plan d’eau. </w:t>
            </w:r>
            <w:r w:rsidR="00D408EA">
              <w:t xml:space="preserve">Compter </w:t>
            </w:r>
            <w:r w:rsidR="00A92F03">
              <w:t>presque deux</w:t>
            </w:r>
            <w:r w:rsidR="00D408EA">
              <w:t xml:space="preserve"> heure</w:t>
            </w:r>
            <w:r w:rsidR="00A92F03">
              <w:t>s</w:t>
            </w:r>
            <w:r w:rsidR="00D408EA">
              <w:t xml:space="preserve"> de marche supplémentaire</w:t>
            </w:r>
            <w:r w:rsidR="00A92F03">
              <w:t xml:space="preserve"> A/R. Le parcours est alors porté à 18 km.</w:t>
            </w:r>
          </w:p>
          <w:p w:rsidR="000B2B72" w:rsidRPr="00836791" w:rsidRDefault="000B2B72" w:rsidP="00176B8C">
            <w:pPr>
              <w:rPr>
                <w:sz w:val="24"/>
                <w:szCs w:val="24"/>
              </w:rPr>
            </w:pPr>
          </w:p>
        </w:tc>
      </w:tr>
    </w:tbl>
    <w:p w:rsidR="000B2B72" w:rsidRPr="00893879" w:rsidRDefault="000B2B72" w:rsidP="000B2B72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t>"Cette fiche participe à la constitution d'une mémoire des itinéraires proposés par les animateurs du club. Eux seuls y ont accès. Ils s'engagent à ne pas la diffuser en dehors du club."</w:t>
      </w:r>
    </w:p>
    <w:p w:rsidR="000B2B72" w:rsidRPr="00E82D8D" w:rsidRDefault="000B2B72" w:rsidP="000B2B72">
      <w:pPr>
        <w:rPr>
          <w:b/>
        </w:rPr>
      </w:pPr>
      <w:r>
        <w:t xml:space="preserve">Date de la dernière mise à jour : </w:t>
      </w:r>
      <w:r w:rsidR="00E82D8D" w:rsidRPr="00E82D8D">
        <w:rPr>
          <w:b/>
        </w:rPr>
        <w:t>17 janvier 2021</w:t>
      </w:r>
    </w:p>
    <w:p w:rsidR="000B2B72" w:rsidRPr="00FF2AF5" w:rsidRDefault="000B2B72" w:rsidP="000B2B72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lastRenderedPageBreak/>
        <w:t>La carte</w:t>
      </w:r>
    </w:p>
    <w:p w:rsidR="00F22F81" w:rsidRDefault="006A6A06" w:rsidP="006A6A06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24525" cy="5724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06" w:rsidRDefault="006A6A06" w:rsidP="006A6A06">
      <w:r>
        <w:rPr>
          <w:noProof/>
          <w:lang w:eastAsia="fr-FR"/>
        </w:rPr>
        <w:drawing>
          <wp:inline distT="0" distB="0" distL="0" distR="0">
            <wp:extent cx="5743575" cy="21431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7883"/>
    <w:multiLevelType w:val="hybridMultilevel"/>
    <w:tmpl w:val="0E9CCF68"/>
    <w:lvl w:ilvl="0" w:tplc="B1220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395F"/>
    <w:multiLevelType w:val="hybridMultilevel"/>
    <w:tmpl w:val="399ED720"/>
    <w:lvl w:ilvl="0" w:tplc="86586E8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72"/>
    <w:rsid w:val="000B2B72"/>
    <w:rsid w:val="005643E6"/>
    <w:rsid w:val="00642250"/>
    <w:rsid w:val="006A6A06"/>
    <w:rsid w:val="006E7964"/>
    <w:rsid w:val="00A92F03"/>
    <w:rsid w:val="00D408EA"/>
    <w:rsid w:val="00E82D8D"/>
    <w:rsid w:val="00F2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10ECE-6922-4C9E-BC89-A3FC9B94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B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4</cp:revision>
  <dcterms:created xsi:type="dcterms:W3CDTF">2021-01-17T14:02:00Z</dcterms:created>
  <dcterms:modified xsi:type="dcterms:W3CDTF">2021-01-20T06:30:00Z</dcterms:modified>
</cp:coreProperties>
</file>